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C2DB" w14:textId="77777777" w:rsidR="004846B1" w:rsidRDefault="004846B1">
      <w:pPr>
        <w:pStyle w:val="BodyText"/>
        <w:rPr>
          <w:rFonts w:ascii="Times New Roman"/>
          <w:sz w:val="20"/>
        </w:rPr>
      </w:pPr>
    </w:p>
    <w:p w14:paraId="0EF11BA9" w14:textId="77777777" w:rsidR="004846B1" w:rsidRDefault="004846B1" w:rsidP="00B11B1C">
      <w:pPr>
        <w:pStyle w:val="BodyText"/>
        <w:spacing w:before="4"/>
        <w:ind w:left="8820"/>
        <w:rPr>
          <w:rFonts w:ascii="Times New Roman"/>
          <w:sz w:val="27"/>
        </w:rPr>
      </w:pPr>
    </w:p>
    <w:p w14:paraId="52BEDC8A" w14:textId="2F54D19C" w:rsidR="004846B1" w:rsidRDefault="00DC7388" w:rsidP="00B11B1C">
      <w:pPr>
        <w:spacing w:before="89"/>
        <w:ind w:left="90"/>
        <w:jc w:val="center"/>
        <w:rPr>
          <w:b/>
          <w:sz w:val="32"/>
        </w:rPr>
      </w:pPr>
      <w:r>
        <w:rPr>
          <w:b/>
          <w:sz w:val="32"/>
        </w:rPr>
        <w:t xml:space="preserve">SUPPLIER </w:t>
      </w:r>
      <w:r w:rsidR="00332B5A">
        <w:rPr>
          <w:b/>
          <w:sz w:val="32"/>
        </w:rPr>
        <w:t>QUALITY REQUIREMENTS</w:t>
      </w:r>
    </w:p>
    <w:p w14:paraId="7F1F722C" w14:textId="77777777" w:rsidR="004846B1" w:rsidRDefault="004846B1">
      <w:pPr>
        <w:pStyle w:val="BodyText"/>
        <w:spacing w:before="1"/>
        <w:rPr>
          <w:b/>
          <w:sz w:val="32"/>
        </w:rPr>
      </w:pPr>
    </w:p>
    <w:p w14:paraId="1092A8E7" w14:textId="63FA2257" w:rsidR="00332B5A" w:rsidRDefault="00332B5A" w:rsidP="00332B5A">
      <w:r>
        <w:t>The following Supplier Quality Requirements will apply unless otherwise agreed:</w:t>
      </w:r>
    </w:p>
    <w:p w14:paraId="0E044730" w14:textId="77777777" w:rsidR="00332B5A" w:rsidRDefault="00332B5A" w:rsidP="00332B5A"/>
    <w:p w14:paraId="656653C6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Certificate of Conformity</w:t>
      </w:r>
    </w:p>
    <w:p w14:paraId="21A8BE91" w14:textId="77777777" w:rsidR="00332B5A" w:rsidRDefault="00332B5A" w:rsidP="00332B5A">
      <w:r>
        <w:t>When stated on the Purchase Order: A signed Certificate of Conformity shall accompany each</w:t>
      </w:r>
    </w:p>
    <w:p w14:paraId="61A3848F" w14:textId="77777777" w:rsidR="00332B5A" w:rsidRDefault="00332B5A" w:rsidP="00332B5A">
      <w:r>
        <w:t>shipment and contain the following information: Supplier name, Purchase Order Number, Part</w:t>
      </w:r>
    </w:p>
    <w:p w14:paraId="59215184" w14:textId="77777777" w:rsidR="00332B5A" w:rsidRDefault="00332B5A" w:rsidP="00332B5A">
      <w:r>
        <w:t>Number, Revision, Quantity, Special Processes, Date, Authorized Signature, Title and</w:t>
      </w:r>
    </w:p>
    <w:p w14:paraId="6E41208C" w14:textId="552BBF46" w:rsidR="00332B5A" w:rsidRDefault="00332B5A" w:rsidP="00332B5A">
      <w:r>
        <w:t>Statement Certifying Product Compliance and Traceability as applicable.</w:t>
      </w:r>
    </w:p>
    <w:p w14:paraId="0A55BB2C" w14:textId="77777777" w:rsidR="00332B5A" w:rsidRDefault="00332B5A" w:rsidP="00332B5A"/>
    <w:p w14:paraId="538A94C4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Quality System</w:t>
      </w:r>
    </w:p>
    <w:p w14:paraId="067A116D" w14:textId="77777777" w:rsidR="00332B5A" w:rsidRDefault="00332B5A" w:rsidP="00332B5A">
      <w:r>
        <w:t>The Supplier shall maintain an effective Quality Management System in accordance with the</w:t>
      </w:r>
    </w:p>
    <w:p w14:paraId="13FB3D7F" w14:textId="77777777" w:rsidR="00332B5A" w:rsidRDefault="00332B5A" w:rsidP="00332B5A">
      <w:r>
        <w:t>requirements of ISO 9001, AS9100 or equivalent that provides a means of ensuring that</w:t>
      </w:r>
    </w:p>
    <w:p w14:paraId="2872DBC6" w14:textId="15FA3930" w:rsidR="00332B5A" w:rsidRDefault="00332B5A" w:rsidP="00332B5A">
      <w:r>
        <w:t>products conform to specified requirements.</w:t>
      </w:r>
    </w:p>
    <w:p w14:paraId="3B70B4BD" w14:textId="77777777" w:rsidR="00332B5A" w:rsidRDefault="00332B5A" w:rsidP="00332B5A"/>
    <w:p w14:paraId="5965FBF7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Right of Access</w:t>
      </w:r>
    </w:p>
    <w:p w14:paraId="6C18D854" w14:textId="65B9AEEF" w:rsidR="00332B5A" w:rsidRDefault="00332B5A" w:rsidP="00332B5A">
      <w:r>
        <w:t>Right of access of Sierra Circuits authorized representatives, their Customer and Regulatory Authorities</w:t>
      </w:r>
      <w:r>
        <w:t xml:space="preserve"> </w:t>
      </w:r>
      <w:r>
        <w:t>to the applicable areas of all facilities, at any level of the supply chain, involved in the order</w:t>
      </w:r>
      <w:r>
        <w:t xml:space="preserve"> </w:t>
      </w:r>
      <w:r>
        <w:t>and to all applicable records.</w:t>
      </w:r>
    </w:p>
    <w:p w14:paraId="40ED3C75" w14:textId="77777777" w:rsidR="00332B5A" w:rsidRDefault="00332B5A" w:rsidP="00332B5A"/>
    <w:p w14:paraId="10300F65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Control of Quality Records</w:t>
      </w:r>
    </w:p>
    <w:p w14:paraId="1ECB595B" w14:textId="77777777" w:rsidR="00332B5A" w:rsidRDefault="00332B5A" w:rsidP="00332B5A">
      <w:r>
        <w:t>Where applicable, records related to the manufacture and/or process operations, including</w:t>
      </w:r>
    </w:p>
    <w:p w14:paraId="7A2FAC5B" w14:textId="77777777" w:rsidR="00332B5A" w:rsidRDefault="00332B5A" w:rsidP="00332B5A">
      <w:r>
        <w:t>Inspection and Test are to be retained by the Supplier and made available on request for</w:t>
      </w:r>
    </w:p>
    <w:p w14:paraId="5C23ED50" w14:textId="07C33799" w:rsidR="00332B5A" w:rsidRDefault="00332B5A" w:rsidP="00332B5A">
      <w:r>
        <w:t>verification by Sierra Circuits, our Customer and Regulatory Authorities. Unless otherwise specified the</w:t>
      </w:r>
      <w:r>
        <w:t xml:space="preserve"> </w:t>
      </w:r>
      <w:r>
        <w:t>period of retention shall be for a minimum of ten years.</w:t>
      </w:r>
    </w:p>
    <w:p w14:paraId="5C5F2AB5" w14:textId="77777777" w:rsidR="00332B5A" w:rsidRDefault="00332B5A" w:rsidP="00332B5A"/>
    <w:p w14:paraId="6953EF60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Non-Conforming Product</w:t>
      </w:r>
    </w:p>
    <w:p w14:paraId="4D5B37C7" w14:textId="5ABA839D" w:rsidR="00332B5A" w:rsidRDefault="00332B5A" w:rsidP="00332B5A">
      <w:r>
        <w:t xml:space="preserve">The Supplier shall obtain written approval from Sierra Circuits prior to the supply of any </w:t>
      </w:r>
      <w:proofErr w:type="gramStart"/>
      <w:r>
        <w:t>Non-conforming</w:t>
      </w:r>
      <w:proofErr w:type="gramEnd"/>
      <w:r>
        <w:t xml:space="preserve"> </w:t>
      </w:r>
      <w:r>
        <w:t>material. The Supplier shall obtain Sierra Circuits approval for non-conforming product disposition. The</w:t>
      </w:r>
      <w:r>
        <w:t xml:space="preserve"> </w:t>
      </w:r>
      <w:r>
        <w:t>Supplier shall notify Sierra Circuits of any Non-conforming material or products discovered after delivery</w:t>
      </w:r>
      <w:r>
        <w:t xml:space="preserve"> </w:t>
      </w:r>
      <w:r>
        <w:t>so that appropriate corrective action can be taken.</w:t>
      </w:r>
    </w:p>
    <w:p w14:paraId="4058177F" w14:textId="77777777" w:rsidR="00332B5A" w:rsidRDefault="00332B5A" w:rsidP="00332B5A"/>
    <w:p w14:paraId="3F77BD76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Counterfeit Component Prevention</w:t>
      </w:r>
    </w:p>
    <w:p w14:paraId="6FAC2E7B" w14:textId="0E8A277A" w:rsidR="00332B5A" w:rsidRDefault="00332B5A" w:rsidP="00332B5A">
      <w:r>
        <w:t>The Supplier shall have a process to ensure counterfeit components are not supplied to Sierra Circuits.</w:t>
      </w:r>
    </w:p>
    <w:p w14:paraId="6519199B" w14:textId="77777777" w:rsidR="00332B5A" w:rsidRDefault="00332B5A" w:rsidP="00332B5A"/>
    <w:p w14:paraId="3B8023FD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Control of Special Processes</w:t>
      </w:r>
    </w:p>
    <w:p w14:paraId="71C00349" w14:textId="148576FC" w:rsidR="00332B5A" w:rsidRDefault="00332B5A" w:rsidP="00332B5A">
      <w:r>
        <w:t>The Supplier and any Sub-Tier Suppliers used shall be Sierra Circuits and/or Customer approved for any</w:t>
      </w:r>
      <w:r>
        <w:t xml:space="preserve"> </w:t>
      </w:r>
      <w:r>
        <w:t>process considered to be a Special Process.</w:t>
      </w:r>
    </w:p>
    <w:p w14:paraId="6603D249" w14:textId="77777777" w:rsidR="00332B5A" w:rsidRDefault="00332B5A" w:rsidP="00332B5A"/>
    <w:p w14:paraId="6E4AF37D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Changes in Product/Process Definition/Circumstances</w:t>
      </w:r>
    </w:p>
    <w:p w14:paraId="65376398" w14:textId="2CA64E4E" w:rsidR="00332B5A" w:rsidRDefault="00332B5A" w:rsidP="00332B5A">
      <w:r>
        <w:t>The Supplier shall notify Sierra Circuits of changes in Product and/or Process, changes of suppliers,</w:t>
      </w:r>
      <w:r>
        <w:t xml:space="preserve"> </w:t>
      </w:r>
      <w:r>
        <w:t>changes of manufacturing location and where required obtain Sierra Circuits approval.</w:t>
      </w:r>
    </w:p>
    <w:p w14:paraId="7B40A032" w14:textId="1D9AA76E" w:rsidR="00332B5A" w:rsidRDefault="00332B5A" w:rsidP="00332B5A">
      <w:r>
        <w:t>The Supplier shall inform Sierra Circuits of changes to its Certification, Registration and Accreditation</w:t>
      </w:r>
      <w:r>
        <w:t xml:space="preserve"> </w:t>
      </w:r>
      <w:r>
        <w:t>status and any other changes that may affect Quality such as change of ownership.</w:t>
      </w:r>
    </w:p>
    <w:p w14:paraId="1964FE4E" w14:textId="77777777" w:rsidR="00332B5A" w:rsidRDefault="00332B5A" w:rsidP="00332B5A"/>
    <w:p w14:paraId="794E8E1B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Sub-tier Suppliers</w:t>
      </w:r>
    </w:p>
    <w:p w14:paraId="55AE8A08" w14:textId="77777777" w:rsidR="00332B5A" w:rsidRDefault="00332B5A" w:rsidP="00332B5A">
      <w:r>
        <w:t>When the Supplier sub-contracts a process or requirement to a Sub-tier Supplier the applicable</w:t>
      </w:r>
    </w:p>
    <w:p w14:paraId="20C97B17" w14:textId="020DA0F3" w:rsidR="00332B5A" w:rsidRDefault="00332B5A" w:rsidP="00332B5A">
      <w:r>
        <w:t xml:space="preserve">requirements must be flowed down to that supplier. Approval of a Sub-tier Supplier by Sierra </w:t>
      </w:r>
      <w:r>
        <w:lastRenderedPageBreak/>
        <w:t>Circuits does not relieve the Supplier of the responsibility for assuring that work performed or products</w:t>
      </w:r>
      <w:r>
        <w:t xml:space="preserve"> </w:t>
      </w:r>
      <w:r>
        <w:t>supplied by the Sub-tier Supplier are in accordance with specification requirements.</w:t>
      </w:r>
    </w:p>
    <w:p w14:paraId="5FE43908" w14:textId="77777777" w:rsidR="00332B5A" w:rsidRDefault="00332B5A" w:rsidP="00332B5A"/>
    <w:p w14:paraId="6C83E6A9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First Article Inspection</w:t>
      </w:r>
    </w:p>
    <w:p w14:paraId="693EFD69" w14:textId="49FE7B5C" w:rsidR="00332B5A" w:rsidRDefault="00332B5A" w:rsidP="00332B5A">
      <w:r>
        <w:t>When agreed, the Supplier shall provide Sierra Circuits with a First Article Inspection Report (FAIR). This</w:t>
      </w:r>
      <w:r>
        <w:t xml:space="preserve"> </w:t>
      </w:r>
      <w:r>
        <w:t>is required for the first batch produced from a new or modified drawing, after a change in the</w:t>
      </w:r>
      <w:r>
        <w:t xml:space="preserve"> </w:t>
      </w:r>
      <w:r>
        <w:t>manufacturing process, or as directed by Sierra Circuits. A First Article Inspection is a representative</w:t>
      </w:r>
      <w:r>
        <w:t xml:space="preserve"> </w:t>
      </w:r>
      <w:r>
        <w:t>sample from the batch and shall be 100% inspected for conformance to requirements.</w:t>
      </w:r>
    </w:p>
    <w:p w14:paraId="42CF54F5" w14:textId="77777777" w:rsidR="00332B5A" w:rsidRDefault="00332B5A" w:rsidP="00332B5A"/>
    <w:p w14:paraId="308C9E01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Performance Monitoring</w:t>
      </w:r>
    </w:p>
    <w:p w14:paraId="1D9665AE" w14:textId="173B0882" w:rsidR="00332B5A" w:rsidRDefault="00332B5A" w:rsidP="00332B5A">
      <w:r>
        <w:t xml:space="preserve">Sierra Circuits will monitor supplier performance based on </w:t>
      </w:r>
      <w:proofErr w:type="spellStart"/>
      <w:r>
        <w:t>On</w:t>
      </w:r>
      <w:proofErr w:type="spellEnd"/>
      <w:r>
        <w:t xml:space="preserve"> Time Delivery and product Quality</w:t>
      </w:r>
    </w:p>
    <w:p w14:paraId="4EC2258A" w14:textId="77777777" w:rsidR="00332B5A" w:rsidRDefault="00332B5A" w:rsidP="00332B5A"/>
    <w:p w14:paraId="2DC78B78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Special Requirements, Critical Items or Key Characteristics</w:t>
      </w:r>
    </w:p>
    <w:p w14:paraId="5B3E4A77" w14:textId="77777777" w:rsidR="00332B5A" w:rsidRDefault="00332B5A" w:rsidP="00332B5A">
      <w:r>
        <w:t>Sierra Circuits will identify, either within the Purchase Order or accompanying documentation any special requirements, critical items or key characteristics that need to be controlled and agree</w:t>
      </w:r>
    </w:p>
    <w:p w14:paraId="7FBBA931" w14:textId="09270676" w:rsidR="00332B5A" w:rsidRDefault="00332B5A" w:rsidP="00332B5A">
      <w:r>
        <w:t>methods of doing so when applicable.</w:t>
      </w:r>
    </w:p>
    <w:p w14:paraId="392FA2DA" w14:textId="77777777" w:rsidR="00332B5A" w:rsidRDefault="00332B5A" w:rsidP="00332B5A"/>
    <w:p w14:paraId="5D56C791" w14:textId="77777777" w:rsidR="00332B5A" w:rsidRPr="00332F25" w:rsidRDefault="00332B5A" w:rsidP="00332B5A">
      <w:pPr>
        <w:rPr>
          <w:b/>
          <w:bCs/>
        </w:rPr>
      </w:pPr>
      <w:r w:rsidRPr="00332F25">
        <w:rPr>
          <w:b/>
          <w:bCs/>
        </w:rPr>
        <w:t>Communication</w:t>
      </w:r>
    </w:p>
    <w:p w14:paraId="6E00023D" w14:textId="295604F7" w:rsidR="00332B5A" w:rsidRDefault="00332B5A" w:rsidP="00332B5A">
      <w:r>
        <w:t>The main point of contact for queries regarding the order is the Buyer identified on the</w:t>
      </w:r>
      <w:r>
        <w:t xml:space="preserve"> </w:t>
      </w:r>
      <w:r>
        <w:t>Purchase Order who will redirect queries as necessary.</w:t>
      </w:r>
    </w:p>
    <w:p w14:paraId="1162E137" w14:textId="77777777" w:rsidR="00332B5A" w:rsidRDefault="00332B5A" w:rsidP="00332B5A"/>
    <w:p w14:paraId="1966A29F" w14:textId="37819A5E" w:rsidR="00332B5A" w:rsidRPr="004436B6" w:rsidRDefault="00332B5A" w:rsidP="00332B5A">
      <w:pPr>
        <w:rPr>
          <w:b/>
          <w:bCs/>
        </w:rPr>
      </w:pPr>
      <w:r w:rsidRPr="004436B6">
        <w:rPr>
          <w:b/>
          <w:bCs/>
        </w:rPr>
        <w:t>Supplier</w:t>
      </w:r>
      <w:r>
        <w:rPr>
          <w:b/>
          <w:bCs/>
        </w:rPr>
        <w:t>’s Employee</w:t>
      </w:r>
      <w:r w:rsidRPr="004436B6">
        <w:rPr>
          <w:b/>
          <w:bCs/>
        </w:rPr>
        <w:t xml:space="preserve"> Contribution to Product</w:t>
      </w:r>
    </w:p>
    <w:p w14:paraId="1179649D" w14:textId="77777777" w:rsidR="00332B5A" w:rsidRDefault="00332B5A" w:rsidP="00332B5A">
      <w:r>
        <w:t>The supplier should communicate to their employees their contribution to:</w:t>
      </w:r>
    </w:p>
    <w:p w14:paraId="79158D02" w14:textId="77777777" w:rsidR="00332B5A" w:rsidRDefault="00332B5A" w:rsidP="00332B5A">
      <w:r>
        <w:t>-Product or Service Conformity</w:t>
      </w:r>
    </w:p>
    <w:p w14:paraId="4ACF8BD9" w14:textId="77777777" w:rsidR="00332B5A" w:rsidRDefault="00332B5A" w:rsidP="00332B5A">
      <w:r>
        <w:t>-Product Safety</w:t>
      </w:r>
    </w:p>
    <w:p w14:paraId="1734E312" w14:textId="77777777" w:rsidR="00332B5A" w:rsidRDefault="00332B5A" w:rsidP="00332B5A">
      <w:r>
        <w:t>-The importance of Ethical Behavior (Please refer to Supplier Code of Conduct – QAS-006-05).</w:t>
      </w:r>
    </w:p>
    <w:p w14:paraId="38D38B8B" w14:textId="01901C19" w:rsidR="004846B1" w:rsidRDefault="004846B1" w:rsidP="00332B5A">
      <w:pPr>
        <w:pStyle w:val="BodyText"/>
        <w:ind w:left="100" w:right="271"/>
      </w:pPr>
    </w:p>
    <w:sectPr w:rsidR="004846B1" w:rsidSect="00332B5A">
      <w:headerReference w:type="default" r:id="rId7"/>
      <w:footerReference w:type="default" r:id="rId8"/>
      <w:type w:val="continuous"/>
      <w:pgSz w:w="12240" w:h="15840"/>
      <w:pgMar w:top="1360" w:right="1240" w:bottom="900" w:left="1340" w:header="432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1839" w14:textId="77777777" w:rsidR="00D3248D" w:rsidRDefault="00D3248D">
      <w:r>
        <w:separator/>
      </w:r>
    </w:p>
  </w:endnote>
  <w:endnote w:type="continuationSeparator" w:id="0">
    <w:p w14:paraId="62970A1E" w14:textId="77777777" w:rsidR="00D3248D" w:rsidRDefault="00D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AD21" w14:textId="1A874D94" w:rsidR="00EE5A68" w:rsidRDefault="00EE5A68" w:rsidP="00EE5A68">
    <w:pPr>
      <w:pStyle w:val="Footer"/>
      <w:jc w:val="center"/>
    </w:pPr>
    <w:r>
      <w:t xml:space="preserve"> Page </w:t>
    </w:r>
    <w:sdt>
      <w:sdtPr>
        <w:id w:val="7925650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FB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332B5A">
          <w:rPr>
            <w:noProof/>
          </w:rPr>
          <w:t>2</w:t>
        </w:r>
        <w:r>
          <w:rPr>
            <w:noProof/>
          </w:rPr>
          <w:t xml:space="preserve">          QAS-006-</w:t>
        </w:r>
        <w:r w:rsidR="00316AE2">
          <w:rPr>
            <w:noProof/>
          </w:rPr>
          <w:t>10</w:t>
        </w:r>
        <w:r w:rsidR="00DC3FBD">
          <w:rPr>
            <w:noProof/>
          </w:rPr>
          <w:t>,</w:t>
        </w:r>
        <w:r>
          <w:rPr>
            <w:noProof/>
          </w:rPr>
          <w:t xml:space="preserve"> Rev A          </w:t>
        </w:r>
        <w:r w:rsidR="00332B5A">
          <w:rPr>
            <w:noProof/>
          </w:rPr>
          <w:t>Nov</w:t>
        </w:r>
        <w:r w:rsidR="00DC3FBD">
          <w:rPr>
            <w:noProof/>
          </w:rPr>
          <w:t xml:space="preserve"> 0</w:t>
        </w:r>
        <w:r w:rsidR="00332B5A">
          <w:rPr>
            <w:noProof/>
          </w:rPr>
          <w:t>8</w:t>
        </w:r>
        <w:r>
          <w:rPr>
            <w:noProof/>
          </w:rPr>
          <w:t>, 20</w:t>
        </w:r>
        <w:r w:rsidR="00332B5A">
          <w:rPr>
            <w:noProof/>
          </w:rPr>
          <w:t>21</w:t>
        </w:r>
      </w:sdtContent>
    </w:sdt>
  </w:p>
  <w:p w14:paraId="1DB0A3B5" w14:textId="77777777" w:rsidR="004846B1" w:rsidRDefault="004846B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C9EB" w14:textId="77777777" w:rsidR="00D3248D" w:rsidRDefault="00D3248D">
      <w:r>
        <w:separator/>
      </w:r>
    </w:p>
  </w:footnote>
  <w:footnote w:type="continuationSeparator" w:id="0">
    <w:p w14:paraId="03CC68D8" w14:textId="77777777" w:rsidR="00D3248D" w:rsidRDefault="00D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FB04" w14:textId="77777777" w:rsidR="004846B1" w:rsidRDefault="00DC738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462DCD2" wp14:editId="1FBE40D4">
          <wp:simplePos x="0" y="0"/>
          <wp:positionH relativeFrom="page">
            <wp:align>center</wp:align>
          </wp:positionH>
          <wp:positionV relativeFrom="page">
            <wp:posOffset>277495</wp:posOffset>
          </wp:positionV>
          <wp:extent cx="1609344" cy="59436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B1A"/>
    <w:multiLevelType w:val="hybridMultilevel"/>
    <w:tmpl w:val="D834D896"/>
    <w:lvl w:ilvl="0" w:tplc="9D34408E">
      <w:start w:val="9"/>
      <w:numFmt w:val="upperRoman"/>
      <w:lvlText w:val="%1."/>
      <w:lvlJc w:val="left"/>
      <w:pPr>
        <w:ind w:left="493" w:hanging="394"/>
        <w:jc w:val="left"/>
      </w:pPr>
      <w:rPr>
        <w:rFonts w:hint="default"/>
        <w:spacing w:val="-1"/>
        <w:w w:val="100"/>
        <w:u w:val="thick" w:color="000000"/>
      </w:rPr>
    </w:lvl>
    <w:lvl w:ilvl="1" w:tplc="F1D28EEA">
      <w:numFmt w:val="bullet"/>
      <w:lvlText w:val="•"/>
      <w:lvlJc w:val="left"/>
      <w:pPr>
        <w:ind w:left="1416" w:hanging="394"/>
      </w:pPr>
      <w:rPr>
        <w:rFonts w:hint="default"/>
      </w:rPr>
    </w:lvl>
    <w:lvl w:ilvl="2" w:tplc="19E2465C">
      <w:numFmt w:val="bullet"/>
      <w:lvlText w:val="•"/>
      <w:lvlJc w:val="left"/>
      <w:pPr>
        <w:ind w:left="2332" w:hanging="394"/>
      </w:pPr>
      <w:rPr>
        <w:rFonts w:hint="default"/>
      </w:rPr>
    </w:lvl>
    <w:lvl w:ilvl="3" w:tplc="A268E9AA">
      <w:numFmt w:val="bullet"/>
      <w:lvlText w:val="•"/>
      <w:lvlJc w:val="left"/>
      <w:pPr>
        <w:ind w:left="3248" w:hanging="394"/>
      </w:pPr>
      <w:rPr>
        <w:rFonts w:hint="default"/>
      </w:rPr>
    </w:lvl>
    <w:lvl w:ilvl="4" w:tplc="E0EA0ED2">
      <w:numFmt w:val="bullet"/>
      <w:lvlText w:val="•"/>
      <w:lvlJc w:val="left"/>
      <w:pPr>
        <w:ind w:left="4164" w:hanging="394"/>
      </w:pPr>
      <w:rPr>
        <w:rFonts w:hint="default"/>
      </w:rPr>
    </w:lvl>
    <w:lvl w:ilvl="5" w:tplc="CCFC68A6">
      <w:numFmt w:val="bullet"/>
      <w:lvlText w:val="•"/>
      <w:lvlJc w:val="left"/>
      <w:pPr>
        <w:ind w:left="5080" w:hanging="394"/>
      </w:pPr>
      <w:rPr>
        <w:rFonts w:hint="default"/>
      </w:rPr>
    </w:lvl>
    <w:lvl w:ilvl="6" w:tplc="2384D842">
      <w:numFmt w:val="bullet"/>
      <w:lvlText w:val="•"/>
      <w:lvlJc w:val="left"/>
      <w:pPr>
        <w:ind w:left="5996" w:hanging="394"/>
      </w:pPr>
      <w:rPr>
        <w:rFonts w:hint="default"/>
      </w:rPr>
    </w:lvl>
    <w:lvl w:ilvl="7" w:tplc="EB8CFA9C">
      <w:numFmt w:val="bullet"/>
      <w:lvlText w:val="•"/>
      <w:lvlJc w:val="left"/>
      <w:pPr>
        <w:ind w:left="6912" w:hanging="394"/>
      </w:pPr>
      <w:rPr>
        <w:rFonts w:hint="default"/>
      </w:rPr>
    </w:lvl>
    <w:lvl w:ilvl="8" w:tplc="D188F350">
      <w:numFmt w:val="bullet"/>
      <w:lvlText w:val="•"/>
      <w:lvlJc w:val="left"/>
      <w:pPr>
        <w:ind w:left="7828" w:hanging="394"/>
      </w:pPr>
      <w:rPr>
        <w:rFonts w:hint="default"/>
      </w:rPr>
    </w:lvl>
  </w:abstractNum>
  <w:abstractNum w:abstractNumId="1" w15:restartNumberingAfterBreak="0">
    <w:nsid w:val="25DE5C56"/>
    <w:multiLevelType w:val="hybridMultilevel"/>
    <w:tmpl w:val="1160098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B9947A7"/>
    <w:multiLevelType w:val="hybridMultilevel"/>
    <w:tmpl w:val="3AAAE3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E481240"/>
    <w:multiLevelType w:val="hybridMultilevel"/>
    <w:tmpl w:val="B2FE5B1E"/>
    <w:lvl w:ilvl="0" w:tplc="11288D92">
      <w:numFmt w:val="bullet"/>
      <w:lvlText w:val="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6973FA5"/>
    <w:multiLevelType w:val="hybridMultilevel"/>
    <w:tmpl w:val="CB0885EC"/>
    <w:lvl w:ilvl="0" w:tplc="1E6ED1CA">
      <w:start w:val="1"/>
      <w:numFmt w:val="upperRoman"/>
      <w:lvlText w:val="%1."/>
      <w:lvlJc w:val="left"/>
      <w:pPr>
        <w:ind w:left="347" w:hanging="248"/>
        <w:jc w:val="left"/>
      </w:pPr>
      <w:rPr>
        <w:rFonts w:hint="default"/>
        <w:w w:val="100"/>
        <w:u w:val="thick" w:color="000000"/>
      </w:rPr>
    </w:lvl>
    <w:lvl w:ilvl="1" w:tplc="B7408886">
      <w:numFmt w:val="bullet"/>
      <w:lvlText w:val="•"/>
      <w:lvlJc w:val="left"/>
      <w:pPr>
        <w:ind w:left="1272" w:hanging="248"/>
      </w:pPr>
      <w:rPr>
        <w:rFonts w:hint="default"/>
      </w:rPr>
    </w:lvl>
    <w:lvl w:ilvl="2" w:tplc="0DA6EBA6">
      <w:numFmt w:val="bullet"/>
      <w:lvlText w:val="•"/>
      <w:lvlJc w:val="left"/>
      <w:pPr>
        <w:ind w:left="2204" w:hanging="248"/>
      </w:pPr>
      <w:rPr>
        <w:rFonts w:hint="default"/>
      </w:rPr>
    </w:lvl>
    <w:lvl w:ilvl="3" w:tplc="CF9E6218">
      <w:numFmt w:val="bullet"/>
      <w:lvlText w:val="•"/>
      <w:lvlJc w:val="left"/>
      <w:pPr>
        <w:ind w:left="3136" w:hanging="248"/>
      </w:pPr>
      <w:rPr>
        <w:rFonts w:hint="default"/>
      </w:rPr>
    </w:lvl>
    <w:lvl w:ilvl="4" w:tplc="A99E8F6C">
      <w:numFmt w:val="bullet"/>
      <w:lvlText w:val="•"/>
      <w:lvlJc w:val="left"/>
      <w:pPr>
        <w:ind w:left="4068" w:hanging="248"/>
      </w:pPr>
      <w:rPr>
        <w:rFonts w:hint="default"/>
      </w:rPr>
    </w:lvl>
    <w:lvl w:ilvl="5" w:tplc="90E4FE08">
      <w:numFmt w:val="bullet"/>
      <w:lvlText w:val="•"/>
      <w:lvlJc w:val="left"/>
      <w:pPr>
        <w:ind w:left="5000" w:hanging="248"/>
      </w:pPr>
      <w:rPr>
        <w:rFonts w:hint="default"/>
      </w:rPr>
    </w:lvl>
    <w:lvl w:ilvl="6" w:tplc="10B09196">
      <w:numFmt w:val="bullet"/>
      <w:lvlText w:val="•"/>
      <w:lvlJc w:val="left"/>
      <w:pPr>
        <w:ind w:left="5932" w:hanging="248"/>
      </w:pPr>
      <w:rPr>
        <w:rFonts w:hint="default"/>
      </w:rPr>
    </w:lvl>
    <w:lvl w:ilvl="7" w:tplc="B4FE1986">
      <w:numFmt w:val="bullet"/>
      <w:lvlText w:val="•"/>
      <w:lvlJc w:val="left"/>
      <w:pPr>
        <w:ind w:left="6864" w:hanging="248"/>
      </w:pPr>
      <w:rPr>
        <w:rFonts w:hint="default"/>
      </w:rPr>
    </w:lvl>
    <w:lvl w:ilvl="8" w:tplc="884678DC">
      <w:numFmt w:val="bullet"/>
      <w:lvlText w:val="•"/>
      <w:lvlJc w:val="left"/>
      <w:pPr>
        <w:ind w:left="7796" w:hanging="24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B1"/>
    <w:rsid w:val="00036110"/>
    <w:rsid w:val="00040B84"/>
    <w:rsid w:val="00081F98"/>
    <w:rsid w:val="001871E3"/>
    <w:rsid w:val="002A196D"/>
    <w:rsid w:val="002A72BD"/>
    <w:rsid w:val="002F183A"/>
    <w:rsid w:val="00316AE2"/>
    <w:rsid w:val="00332B5A"/>
    <w:rsid w:val="00375559"/>
    <w:rsid w:val="003C021D"/>
    <w:rsid w:val="00460E91"/>
    <w:rsid w:val="004846B1"/>
    <w:rsid w:val="00664AC0"/>
    <w:rsid w:val="00760205"/>
    <w:rsid w:val="0095258E"/>
    <w:rsid w:val="00B11B1C"/>
    <w:rsid w:val="00B17D8D"/>
    <w:rsid w:val="00B76F2E"/>
    <w:rsid w:val="00D25D50"/>
    <w:rsid w:val="00D3248D"/>
    <w:rsid w:val="00D34922"/>
    <w:rsid w:val="00DC3FBD"/>
    <w:rsid w:val="00DC7388"/>
    <w:rsid w:val="00E34AD9"/>
    <w:rsid w:val="00E3616C"/>
    <w:rsid w:val="00E86A33"/>
    <w:rsid w:val="00E91FE4"/>
    <w:rsid w:val="00EE5A68"/>
    <w:rsid w:val="00F1094B"/>
    <w:rsid w:val="00F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95D9"/>
  <w15:docId w15:val="{F010469E-91EF-4A29-9182-38C5935C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196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hanging="45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47" w:hanging="4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1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8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1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83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258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525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Grady</dc:creator>
  <cp:lastModifiedBy>Milton Sanchez</cp:lastModifiedBy>
  <cp:revision>4</cp:revision>
  <cp:lastPrinted>2017-05-26T15:16:00Z</cp:lastPrinted>
  <dcterms:created xsi:type="dcterms:W3CDTF">2021-11-08T18:16:00Z</dcterms:created>
  <dcterms:modified xsi:type="dcterms:W3CDTF">2021-11-08T18:18:00Z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2017-05-26T00:00:00Z</vt:filetime>
  </property>
</Properties>
</file>